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8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浙江农林大学后勤集团报废资产处置报价单</w:t>
      </w:r>
      <w:bookmarkStart w:id="0" w:name="_GoBack"/>
      <w:bookmarkEnd w:id="0"/>
    </w:p>
    <w:tbl>
      <w:tblPr>
        <w:tblStyle w:val="3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3"/>
        <w:gridCol w:w="1668"/>
        <w:gridCol w:w="1655"/>
        <w:gridCol w:w="1751"/>
        <w:gridCol w:w="1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2423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询价项目</w:t>
            </w:r>
          </w:p>
        </w:tc>
        <w:tc>
          <w:tcPr>
            <w:tcW w:w="1668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内容</w:t>
            </w:r>
          </w:p>
        </w:tc>
        <w:tc>
          <w:tcPr>
            <w:tcW w:w="1655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标底价（元）</w:t>
            </w:r>
          </w:p>
        </w:tc>
        <w:tc>
          <w:tcPr>
            <w:tcW w:w="1751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报价（元）</w:t>
            </w:r>
          </w:p>
        </w:tc>
        <w:tc>
          <w:tcPr>
            <w:tcW w:w="1021" w:type="dxa"/>
            <w:vAlign w:val="center"/>
          </w:tcPr>
          <w:p>
            <w:pPr>
              <w:spacing w:line="480" w:lineRule="auto"/>
              <w:jc w:val="center"/>
              <w:rPr>
                <w:rFonts w:asciiTheme="majorEastAsia" w:hAnsiTheme="majorEastAsia" w:eastAsiaTheme="majorEastAsia" w:cs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2423" w:type="dxa"/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浙江农林大学后勤</w:t>
            </w:r>
          </w:p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集团报废资产处置</w:t>
            </w:r>
          </w:p>
        </w:tc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后勤自有资产</w:t>
            </w:r>
          </w:p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(清单附后)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</w:p>
          <w:p>
            <w:pPr>
              <w:pStyle w:val="2"/>
              <w:tabs>
                <w:tab w:val="center" w:pos="795"/>
              </w:tabs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  <w:t>000.00</w:t>
            </w:r>
          </w:p>
          <w:p>
            <w:pPr>
              <w:pStyle w:val="2"/>
              <w:tabs>
                <w:tab w:val="center" w:pos="795"/>
              </w:tabs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szCs w:val="24"/>
              </w:rPr>
            </w:pPr>
          </w:p>
        </w:tc>
        <w:tc>
          <w:tcPr>
            <w:tcW w:w="1751" w:type="dxa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2423" w:type="dxa"/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合计</w:t>
            </w:r>
          </w:p>
        </w:tc>
        <w:tc>
          <w:tcPr>
            <w:tcW w:w="1668" w:type="dxa"/>
            <w:vAlign w:val="center"/>
          </w:tcPr>
          <w:p>
            <w:pPr>
              <w:spacing w:line="520" w:lineRule="exact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</w:t>
            </w:r>
          </w:p>
        </w:tc>
        <w:tc>
          <w:tcPr>
            <w:tcW w:w="1655" w:type="dxa"/>
            <w:vAlign w:val="center"/>
          </w:tcPr>
          <w:p>
            <w:pPr>
              <w:pStyle w:val="2"/>
              <w:tabs>
                <w:tab w:val="center" w:pos="795"/>
              </w:tabs>
              <w:spacing w:before="0" w:beforeAutospacing="0" w:after="0" w:afterAutospacing="0" w:line="520" w:lineRule="exact"/>
              <w:jc w:val="center"/>
              <w:rPr>
                <w:rFonts w:hint="default" w:asciiTheme="majorEastAsia" w:hAnsiTheme="majorEastAsia" w:eastAsiaTheme="majorEastAsia" w:cstheme="majorEastAsia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30000.00</w:t>
            </w:r>
          </w:p>
        </w:tc>
        <w:tc>
          <w:tcPr>
            <w:tcW w:w="1751" w:type="dxa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2"/>
              <w:spacing w:before="0" w:beforeAutospacing="0" w:after="0" w:afterAutospacing="0" w:line="520" w:lineRule="exact"/>
              <w:jc w:val="center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</w:p>
        </w:tc>
      </w:tr>
    </w:tbl>
    <w:p>
      <w:pPr>
        <w:tabs>
          <w:tab w:val="left" w:pos="913"/>
        </w:tabs>
        <w:spacing w:line="520" w:lineRule="exact"/>
        <w:jc w:val="left"/>
        <w:rPr>
          <w:rFonts w:ascii="仿宋" w:hAnsi="仿宋" w:eastAsia="仿宋" w:cs="仿宋"/>
          <w:sz w:val="24"/>
        </w:rPr>
      </w:pPr>
    </w:p>
    <w:p>
      <w:pPr>
        <w:tabs>
          <w:tab w:val="left" w:pos="913"/>
        </w:tabs>
        <w:spacing w:line="480" w:lineRule="auto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备注：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1.本次询价设标底价，低于标底价格为无效响应文件；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2.报价含处置资产的搬运费、租车费、保管费、税费等一切相关费用；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3.在满足采购需求、质量和售后服务相当的前提下，按照综合报价最高价中标原则确定成交供应商；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4.此表是投标文件的必要文件，是投标文件的组成部分，作为唱标之用。</w:t>
      </w:r>
    </w:p>
    <w:p>
      <w:pPr>
        <w:tabs>
          <w:tab w:val="left" w:pos="913"/>
        </w:tabs>
        <w:spacing w:line="480" w:lineRule="auto"/>
        <w:jc w:val="left"/>
        <w:rPr>
          <w:rFonts w:asciiTheme="majorEastAsia" w:hAnsiTheme="majorEastAsia" w:eastAsiaTheme="majorEastAsia" w:cstheme="majorEastAsia"/>
          <w:sz w:val="24"/>
        </w:rPr>
      </w:pPr>
    </w:p>
    <w:p>
      <w:pPr>
        <w:spacing w:line="480" w:lineRule="auto"/>
        <w:ind w:firstLine="5280" w:firstLineChars="2200"/>
        <w:rPr>
          <w:rFonts w:asciiTheme="majorEastAsia" w:hAnsiTheme="majorEastAsia" w:eastAsiaTheme="majorEastAsia" w:cstheme="majorEastAsia"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>报价单位：（公章）</w:t>
      </w:r>
    </w:p>
    <w:p>
      <w:pPr>
        <w:spacing w:line="480" w:lineRule="auto"/>
        <w:ind w:firstLine="4800" w:firstLineChars="2000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日期：       年   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月 </w:t>
      </w:r>
      <w:r>
        <w:rPr>
          <w:rFonts w:hint="eastAsia" w:asciiTheme="majorEastAsia" w:hAnsiTheme="majorEastAsia" w:eastAsiaTheme="majorEastAsia" w:cstheme="majorEastAsia"/>
          <w:bCs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bCs/>
          <w:sz w:val="24"/>
        </w:rPr>
        <w:t xml:space="preserve"> 日</w:t>
      </w:r>
    </w:p>
    <w:p>
      <w:pPr>
        <w:jc w:val="left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</w:p>
    <w:p/>
    <w:sectPr>
      <w:pgSz w:w="11906" w:h="16838"/>
      <w:pgMar w:top="1701" w:right="1335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3687D"/>
    <w:rsid w:val="187A4973"/>
    <w:rsid w:val="4E1971DC"/>
    <w:rsid w:val="7BFE03C6"/>
    <w:rsid w:val="7E81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其他人员</cp:lastModifiedBy>
  <dcterms:modified xsi:type="dcterms:W3CDTF">2020-05-21T07:59:43Z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