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240"/>
        <w:rPr>
          <w:rFonts w:hint="eastAsia"/>
        </w:rPr>
      </w:pPr>
      <w:r>
        <w:rPr>
          <w:rFonts w:hint="eastAsia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4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浙江农林大学后勤集团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东湖食堂二楼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4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智能餐盘结算系统采购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项目报价单</w:t>
      </w:r>
    </w:p>
    <w:tbl>
      <w:tblPr>
        <w:tblStyle w:val="5"/>
        <w:tblW w:w="8979" w:type="dxa"/>
        <w:jc w:val="center"/>
        <w:tblInd w:w="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550"/>
        <w:gridCol w:w="1541"/>
        <w:gridCol w:w="795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浙江农林大学后勤集团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湖食堂二楼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智能餐盘结算系统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年系统服务费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(含图像设备智慧机)</w:t>
            </w:r>
          </w:p>
        </w:tc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  <w:t xml:space="preserve">  元/套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100" w:lineRule="exac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部署实施上门服务费</w:t>
            </w:r>
          </w:p>
        </w:tc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100" w:lineRule="exact"/>
              <w:ind w:left="60" w:leftChars="0" w:right="6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  <w:t>/天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100" w:lineRule="exact"/>
              <w:ind w:left="60" w:leftChars="0" w:right="6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100" w:lineRule="exact"/>
              <w:ind w:left="60" w:leftChars="0" w:right="6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900" w:lineRule="exac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900" w:lineRule="exac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900" w:lineRule="exac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900" w:lineRule="exac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900" w:lineRule="exact"/>
              <w:ind w:left="60" w:leftChars="0"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备注：1.本次询价设限高价，超过限高价格为无效响应文件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2.投标人须按要求填写所有信息，若随意更改本表格式作废标处理。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60" w:leftChars="327" w:hanging="241" w:hangingChars="1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本次询价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对年系统服务服务费和部署实施上门服务费分别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设限高价，超过限高价格为无效响应文件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。其中：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(1)年系统服务费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报价包括了设备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智能系统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1年免费升级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1年远程服务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部署实施上门服务费包括了设备安装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资料录入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人员培训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使用陪同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，具体服务天数由投标人根据自身实际填报。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60" w:leftChars="327" w:hanging="241" w:hangingChars="1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此表是投标文件的必要文件，是投标文件的组成部分，作为唱标之用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报价单位：（公章）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日期：       年 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sectPr>
          <w:pgSz w:w="11906" w:h="16838"/>
          <w:pgMar w:top="1304" w:right="1588" w:bottom="1134" w:left="1588" w:header="709" w:footer="709" w:gutter="0"/>
          <w:cols w:space="720" w:num="1"/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12227"/>
    <w:rsid w:val="6D535020"/>
    <w:rsid w:val="7BD1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2018-08-20T09:04:00Z</dcterms:created>
  <dc:creator>小末小石</dc:creator>
  <cp:lastModifiedBy>小末小石</cp:lastModifiedBy>
  <dcterms:modified xsi:type="dcterms:W3CDTF">2018-08-20T09:05:08Z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