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09" w:rsidRDefault="00A21C09" w:rsidP="00A21C09">
      <w:pPr>
        <w:widowControl/>
        <w:adjustRightInd w:val="0"/>
        <w:snapToGrid w:val="0"/>
        <w:spacing w:line="400" w:lineRule="exact"/>
        <w:jc w:val="center"/>
        <w:rPr>
          <w:rFonts w:ascii="方正小标宋简体" w:eastAsia="方正小标宋简体"/>
          <w:b/>
          <w:szCs w:val="21"/>
        </w:rPr>
      </w:pPr>
      <w:bookmarkStart w:id="0" w:name="_Toc103_WPSOffice_Level1"/>
      <w:bookmarkStart w:id="1" w:name="_Toc15480_WPSOffice_Level1"/>
      <w:bookmarkStart w:id="2" w:name="_Toc28309_WPSOffice_Level1"/>
      <w:bookmarkStart w:id="3" w:name="_Toc15048_WPSOffice_Level1"/>
      <w:bookmarkStart w:id="4" w:name="_Toc32352_WPSOffice_Level1"/>
      <w:bookmarkStart w:id="5" w:name="_Toc17098_WPSOffice_Level1"/>
      <w:bookmarkStart w:id="6" w:name="_Toc10518_WPSOffice_Level1"/>
      <w:bookmarkStart w:id="7" w:name="_Toc22629_WPSOffice_Level1"/>
      <w:bookmarkStart w:id="8" w:name="_Toc20838_WPSOffice_Level1"/>
      <w:bookmarkStart w:id="9" w:name="_Toc4746_WPSOffice_Level1"/>
      <w:r>
        <w:rPr>
          <w:rFonts w:ascii="方正小标宋简体" w:eastAsia="方正小标宋简体" w:hint="eastAsia"/>
          <w:b/>
          <w:bCs/>
          <w:szCs w:val="21"/>
        </w:rPr>
        <w:t>浙江农林大学后勤集团会计档案保管期限表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3402"/>
        <w:gridCol w:w="1417"/>
        <w:gridCol w:w="3393"/>
      </w:tblGrid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档 案 名 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保管期限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备 注</w:t>
            </w: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一、会计凭证类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原始凭证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30年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记账凭证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30年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二、会计账簿类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总账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30年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包括日记总账</w:t>
            </w: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明细账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30年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日记账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30年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固定资产卡片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固定资产报废清理后保管5年</w:t>
            </w: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辅助账簿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30年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 xml:space="preserve">三、财务报告类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包括单位汇总财务报告</w:t>
            </w: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月度、季度财务报告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包括文字分析</w:t>
            </w: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年度财务报告（决算）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永久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包括文字分析</w:t>
            </w: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四、其他类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会计移交清册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30年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会计档案保管清册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永久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会计档案销毁清册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永久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银行余额调节表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银行对账单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纳税申报表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10年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  <w:tr w:rsidR="00A21C09" w:rsidTr="00474FCA">
        <w:trPr>
          <w:trHeight w:val="45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其他财务资料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  <w:r>
              <w:rPr>
                <w:rStyle w:val="15"/>
                <w:rFonts w:asciiTheme="majorEastAsia" w:eastAsiaTheme="majorEastAsia" w:hAnsiTheme="majorEastAsia" w:hint="eastAsia"/>
                <w:color w:val="000000"/>
                <w:szCs w:val="21"/>
              </w:rPr>
              <w:t>永久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9" w:rsidRDefault="00A21C09" w:rsidP="00474FCA">
            <w:pPr>
              <w:spacing w:line="400" w:lineRule="exact"/>
              <w:jc w:val="center"/>
              <w:rPr>
                <w:rStyle w:val="15"/>
                <w:rFonts w:asciiTheme="majorEastAsia" w:eastAsiaTheme="majorEastAsia" w:hAnsiTheme="majorEastAsia"/>
                <w:b w:val="0"/>
                <w:bCs w:val="0"/>
                <w:color w:val="000000"/>
                <w:szCs w:val="21"/>
              </w:rPr>
            </w:pPr>
          </w:p>
        </w:tc>
      </w:tr>
    </w:tbl>
    <w:p w:rsidR="00C918D5" w:rsidRDefault="00A21C09"/>
    <w:sectPr w:rsidR="00C918D5" w:rsidSect="00A21C09">
      <w:pgSz w:w="16838" w:h="11906" w:orient="landscape"/>
      <w:pgMar w:top="567" w:right="663" w:bottom="567" w:left="6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1C09"/>
    <w:rsid w:val="00051A32"/>
    <w:rsid w:val="00676990"/>
    <w:rsid w:val="006B7303"/>
    <w:rsid w:val="00A2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qFormat/>
    <w:rsid w:val="00A21C0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微软公司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2019-11-29T02:49:00Z</dcterms:created>
  <dcterms:modified xsi:type="dcterms:W3CDTF">2019-11-29T02:51:00Z</dcterms:modified>
</cp:coreProperties>
</file>