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附件：</w:t>
      </w:r>
    </w:p>
    <w:p>
      <w:pPr>
        <w:pStyle w:val="5"/>
        <w:rPr>
          <w:rFonts w:ascii="宋体" w:hAnsi="宋体"/>
          <w:color w:val="auto"/>
        </w:rPr>
      </w:pPr>
    </w:p>
    <w:p>
      <w:pPr>
        <w:pStyle w:val="5"/>
        <w:jc w:val="center"/>
        <w:rPr>
          <w:rFonts w:hint="eastAsia" w:ascii="方正小标宋简体" w:eastAsia="方正小标宋简体"/>
          <w:b/>
          <w:color w:val="auto"/>
          <w:sz w:val="36"/>
          <w:szCs w:val="36"/>
        </w:rPr>
      </w:pPr>
      <w:r>
        <w:rPr>
          <w:rFonts w:hint="eastAsia" w:ascii="方正小标宋简体" w:eastAsia="方正小标宋简体"/>
          <w:b/>
          <w:color w:val="auto"/>
          <w:sz w:val="36"/>
          <w:szCs w:val="36"/>
        </w:rPr>
        <w:t>浙江农林大学后勤集团报废资产处置报价单</w:t>
      </w:r>
    </w:p>
    <w:p>
      <w:pPr>
        <w:pStyle w:val="5"/>
        <w:jc w:val="center"/>
        <w:rPr>
          <w:rFonts w:hint="eastAsia" w:ascii="方正小标宋简体" w:eastAsia="方正小标宋简体"/>
          <w:b/>
          <w:color w:val="auto"/>
          <w:sz w:val="36"/>
          <w:szCs w:val="36"/>
        </w:rPr>
      </w:pPr>
    </w:p>
    <w:tbl>
      <w:tblPr>
        <w:tblStyle w:val="3"/>
        <w:tblW w:w="8049" w:type="dxa"/>
        <w:jc w:val="center"/>
        <w:tblInd w:w="-4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65"/>
        <w:gridCol w:w="1978"/>
        <w:gridCol w:w="1864"/>
        <w:gridCol w:w="10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3165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lang w:eastAsia="zh-CN"/>
              </w:rPr>
              <w:t>询价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</w:rPr>
              <w:t>项目</w:t>
            </w:r>
          </w:p>
        </w:tc>
        <w:tc>
          <w:tcPr>
            <w:tcW w:w="1978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lang w:eastAsia="zh-CN"/>
              </w:rPr>
              <w:t>标底（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</w:rPr>
              <w:t>元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864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</w:rPr>
              <w:t>报价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</w:rPr>
              <w:t>元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042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  <w:jc w:val="center"/>
        </w:trPr>
        <w:tc>
          <w:tcPr>
            <w:tcW w:w="31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浙江农林大学后勤集团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报废资产处置</w:t>
            </w:r>
          </w:p>
        </w:tc>
        <w:tc>
          <w:tcPr>
            <w:tcW w:w="197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bCs/>
                <w:color w:val="auto"/>
                <w:sz w:val="24"/>
                <w:szCs w:val="24"/>
                <w:lang w:val="en-US" w:eastAsia="zh-CN"/>
              </w:rPr>
              <w:t>12500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  <w:t>.00</w:t>
            </w:r>
          </w:p>
        </w:tc>
        <w:tc>
          <w:tcPr>
            <w:tcW w:w="186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04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31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197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bCs/>
                <w:color w:val="auto"/>
                <w:sz w:val="24"/>
                <w:szCs w:val="24"/>
                <w:lang w:val="en-US" w:eastAsia="zh-CN"/>
              </w:rPr>
              <w:t>1250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  <w:t>0.00</w:t>
            </w:r>
          </w:p>
        </w:tc>
        <w:tc>
          <w:tcPr>
            <w:tcW w:w="186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04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eastAsia="zh-CN"/>
              </w:rPr>
            </w:pPr>
          </w:p>
        </w:tc>
      </w:tr>
    </w:tbl>
    <w:p>
      <w:pPr>
        <w:tabs>
          <w:tab w:val="left" w:pos="913"/>
        </w:tabs>
        <w:spacing w:line="48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备注：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1.本次询价设标底价，低于标底价格为无效响应文件；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2.报价含处置资产的搬运费、租车费、保管费、税费等一切相关费用；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3.此表是投标文件的必要文件，是投标文件的组成部分，作为唱标之用。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lang w:val="en-US" w:eastAsia="zh-CN"/>
        </w:rPr>
      </w:pPr>
    </w:p>
    <w:p>
      <w:pPr>
        <w:tabs>
          <w:tab w:val="left" w:pos="913"/>
        </w:tabs>
        <w:spacing w:line="48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</w:rPr>
      </w:pPr>
    </w:p>
    <w:p>
      <w:pPr>
        <w:spacing w:line="480" w:lineRule="auto"/>
        <w:ind w:firstLine="5280" w:firstLineChars="2200"/>
        <w:rPr>
          <w:rFonts w:hint="eastAsia" w:ascii="宋体" w:hAnsi="宋体" w:eastAsia="宋体" w:cs="宋体"/>
          <w:bCs/>
          <w:color w:val="auto"/>
          <w:sz w:val="24"/>
        </w:rPr>
      </w:pPr>
      <w:r>
        <w:rPr>
          <w:rFonts w:hint="eastAsia" w:ascii="宋体" w:hAnsi="宋体" w:eastAsia="宋体" w:cs="宋体"/>
          <w:bCs/>
          <w:color w:val="auto"/>
          <w:sz w:val="24"/>
        </w:rPr>
        <w:t>报价单位：（公章）</w:t>
      </w:r>
    </w:p>
    <w:p>
      <w:pPr>
        <w:spacing w:line="480" w:lineRule="auto"/>
        <w:ind w:firstLine="4800" w:firstLineChars="2000"/>
        <w:rPr>
          <w:color w:val="auto"/>
        </w:rPr>
      </w:pPr>
      <w:r>
        <w:rPr>
          <w:rFonts w:hint="eastAsia" w:ascii="宋体" w:hAnsi="宋体" w:eastAsia="宋体" w:cs="宋体"/>
          <w:bCs/>
          <w:color w:val="auto"/>
          <w:sz w:val="24"/>
        </w:rPr>
        <w:t>日期：       年   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471D23"/>
    <w:rsid w:val="28EF586E"/>
    <w:rsid w:val="31004A05"/>
    <w:rsid w:val="67C87A95"/>
    <w:rsid w:val="6A4C1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styleId="5">
    <w:name w:val="No Spacing"/>
    <w:qFormat/>
    <w:uiPriority w:val="1"/>
    <w:pPr>
      <w:adjustRightInd w:val="0"/>
      <w:snapToGrid w:val="0"/>
    </w:pPr>
    <w:rPr>
      <w:rFonts w:ascii="Tahoma" w:hAnsi="Tahoma" w:eastAsia="宋体" w:cs="Times New Roman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其他人员</cp:lastModifiedBy>
  <dcterms:modified xsi:type="dcterms:W3CDTF">2019-05-20T06:15:44Z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