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浙江农林大学校园建筑外立面清洗服务报价单</w:t>
            </w:r>
          </w:p>
        </w:tc>
      </w:tr>
    </w:tbl>
    <w:tbl>
      <w:tblPr>
        <w:tblStyle w:val="5"/>
        <w:tblW w:w="930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538"/>
        <w:gridCol w:w="2100"/>
        <w:gridCol w:w="191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供应商报价(元)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雨棚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具体尺寸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以现场勘查为准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幕墙玻璃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茶文化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雨棚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雨棚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大厅正门玻璃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图书馆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南面雨棚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图书馆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正门雨棚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图书馆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正门玻璃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小报告厅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雨棚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卫保中心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卫保中心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雨棚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学院1号楼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大厅气窗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学院3号楼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大门门厅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学院9号楼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学院9号楼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地下车库雨棚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学院10号楼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学14-15号楼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教学1号楼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幕墙玻璃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教学1号楼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露台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教学4号楼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教学5号楼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衣锦校区主教学楼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正面玻璃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衣锦校区图书馆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正立面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限高价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49000.00</w:t>
            </w:r>
          </w:p>
        </w:tc>
        <w:tc>
          <w:tcPr>
            <w:tcW w:w="1750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报价一经涂改，应在涂改处加盖单位公章，否则其投标作无效标处理。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2.谈判响应方报价只能低于最高限价，超过最高限价的报价为无效报价。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 w:firstLineChars="200"/>
        <w:textAlignment w:val="auto"/>
        <w:outlineLvl w:val="9"/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</w:rPr>
        <w:t>投标报价是包括含税费、人工费</w:t>
      </w:r>
      <w:r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  <w:lang w:eastAsia="zh-CN"/>
        </w:rPr>
        <w:t>、清洗材料费、保险费</w:t>
      </w:r>
      <w:r>
        <w:rPr>
          <w:rFonts w:hint="eastAsia" w:ascii="宋体" w:hAnsi="宋体"/>
          <w:b w:val="0"/>
          <w:bCs w:val="0"/>
          <w:color w:val="auto"/>
          <w:spacing w:val="-6"/>
          <w:sz w:val="21"/>
          <w:szCs w:val="21"/>
          <w:highlight w:val="none"/>
        </w:rPr>
        <w:t>等各项费用及不可预见费等所需的全部费用。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投标人需按“投标报价表”的分项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分别报价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报价单位(公章):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授权代表签字: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日期: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F22E8"/>
    <w:rsid w:val="1EDA0DB7"/>
    <w:rsid w:val="37C42696"/>
    <w:rsid w:val="3CD31BAA"/>
    <w:rsid w:val="72D75D19"/>
    <w:rsid w:val="74892DC4"/>
    <w:rsid w:val="7BE007CB"/>
    <w:rsid w:val="7EE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2018-09-28T11:17:57Z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