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 w:eastAsia="仿宋"/>
          <w:b/>
          <w:bCs/>
          <w:sz w:val="24"/>
        </w:rPr>
      </w:pPr>
      <w:r>
        <w:rPr>
          <w:rFonts w:hint="eastAsia" w:ascii="宋体" w:hAnsi="宋体" w:eastAsia="仿宋"/>
          <w:b/>
          <w:bCs/>
          <w:sz w:val="24"/>
        </w:rPr>
        <w:t>附件</w:t>
      </w:r>
      <w:r>
        <w:rPr>
          <w:rFonts w:ascii="宋体" w:hAnsi="宋体" w:eastAsia="仿宋"/>
          <w:b/>
          <w:bCs/>
          <w:sz w:val="24"/>
        </w:rPr>
        <w:t>1</w:t>
      </w:r>
      <w:r>
        <w:rPr>
          <w:rFonts w:hint="eastAsia" w:ascii="宋体" w:hAnsi="宋体" w:eastAsia="仿宋"/>
          <w:b/>
          <w:bCs/>
          <w:sz w:val="24"/>
        </w:rPr>
        <w:t>：</w:t>
      </w:r>
    </w:p>
    <w:p>
      <w:pPr>
        <w:spacing w:afterLines="100" w:line="48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浙江农林大学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后勤集团报废资产处置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报价单</w:t>
      </w:r>
    </w:p>
    <w:tbl>
      <w:tblPr>
        <w:tblStyle w:val="4"/>
        <w:tblW w:w="853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60"/>
        <w:gridCol w:w="2190"/>
        <w:gridCol w:w="192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6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</w:p>
        </w:tc>
        <w:tc>
          <w:tcPr>
            <w:tcW w:w="219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标底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76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浙江农林大学后勤集团报废资产处置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tabs>
                <w:tab w:val="center" w:pos="795"/>
              </w:tabs>
              <w:spacing w:before="0" w:beforeAutospacing="0" w:after="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9000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spacing w:before="0" w:beforeAutospacing="0" w:after="0"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>
            <w:pPr>
              <w:pStyle w:val="2"/>
              <w:spacing w:before="0" w:beforeAutospacing="0" w:after="0"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本次询价设</w:t>
      </w:r>
      <w:r>
        <w:rPr>
          <w:rFonts w:hint="eastAsia" w:ascii="仿宋" w:hAnsi="仿宋" w:eastAsia="仿宋" w:cs="仿宋"/>
          <w:sz w:val="24"/>
          <w:lang w:eastAsia="zh-CN"/>
        </w:rPr>
        <w:t>标底</w:t>
      </w:r>
      <w:r>
        <w:rPr>
          <w:rFonts w:hint="eastAsia" w:ascii="仿宋" w:hAnsi="仿宋" w:eastAsia="仿宋" w:cs="仿宋"/>
          <w:sz w:val="24"/>
        </w:rPr>
        <w:t>价，</w:t>
      </w:r>
      <w:r>
        <w:rPr>
          <w:rFonts w:hint="eastAsia" w:ascii="仿宋" w:hAnsi="仿宋" w:eastAsia="仿宋" w:cs="仿宋"/>
          <w:sz w:val="24"/>
          <w:lang w:eastAsia="zh-CN"/>
        </w:rPr>
        <w:t>低于标底</w:t>
      </w:r>
      <w:r>
        <w:rPr>
          <w:rFonts w:hint="eastAsia" w:ascii="仿宋" w:hAnsi="仿宋" w:eastAsia="仿宋" w:cs="仿宋"/>
          <w:sz w:val="24"/>
        </w:rPr>
        <w:t>价格为无效响应文件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报价含</w:t>
      </w:r>
      <w:r>
        <w:rPr>
          <w:rFonts w:hint="eastAsia" w:ascii="仿宋" w:hAnsi="仿宋" w:eastAsia="仿宋" w:cs="仿宋"/>
          <w:sz w:val="24"/>
          <w:lang w:eastAsia="zh-CN"/>
        </w:rPr>
        <w:t>处置资产的搬运费、租车费、保管费、</w:t>
      </w:r>
      <w:r>
        <w:rPr>
          <w:rFonts w:hint="eastAsia" w:ascii="仿宋" w:hAnsi="仿宋" w:eastAsia="仿宋" w:cs="仿宋"/>
          <w:sz w:val="24"/>
        </w:rPr>
        <w:t>税费等一切相关费用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spacing w:line="480" w:lineRule="auto"/>
        <w:ind w:firstLine="5280" w:firstLineChars="2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报价单位：（公章）</w:t>
      </w:r>
    </w:p>
    <w:p>
      <w:pPr>
        <w:spacing w:line="480" w:lineRule="auto"/>
        <w:ind w:firstLine="4800" w:firstLineChars="2000"/>
        <w:rPr>
          <w:rFonts w:ascii="宋体"/>
          <w:sz w:val="24"/>
        </w:rPr>
      </w:pPr>
      <w:r>
        <w:rPr>
          <w:rFonts w:hint="eastAsia" w:ascii="仿宋" w:hAnsi="仿宋" w:eastAsia="仿宋" w:cs="仿宋"/>
          <w:bCs/>
          <w:sz w:val="24"/>
        </w:rPr>
        <w:t>日期：</w:t>
      </w:r>
      <w:r>
        <w:rPr>
          <w:rFonts w:ascii="仿宋" w:hAnsi="仿宋" w:eastAsia="仿宋" w:cs="仿宋"/>
          <w:bCs/>
          <w:sz w:val="24"/>
        </w:rPr>
        <w:t xml:space="preserve">   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ascii="仿宋" w:hAnsi="仿宋" w:eastAsia="仿宋" w:cs="仿宋"/>
          <w:bCs/>
          <w:sz w:val="24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ascii="仿宋" w:hAnsi="仿宋" w:eastAsia="仿宋" w:cs="仿宋"/>
          <w:bCs/>
          <w:sz w:val="24"/>
        </w:rPr>
        <w:t xml:space="preserve">  </w:t>
      </w:r>
      <w:r>
        <w:rPr>
          <w:rFonts w:hint="eastAsia" w:ascii="仿宋" w:hAnsi="仿宋" w:eastAsia="仿宋" w:cs="仿宋"/>
          <w:bCs/>
          <w:sz w:val="24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289422"/>
    <w:multiLevelType w:val="singleLevel"/>
    <w:tmpl w:val="BD2894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D2E56"/>
    <w:rsid w:val="4AED2E5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2018-06-11T09:30:00Z</dcterms:created>
  <dc:creator>寒暮雪</dc:creator>
  <cp:lastModifiedBy>寒暮雪</cp:lastModifiedBy>
  <dcterms:modified xsi:type="dcterms:W3CDTF">2018-06-11T09:30:19Z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